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BAC" w:rsidRPr="00890936" w:rsidRDefault="00E062A2" w:rsidP="00890936">
      <w:pPr>
        <w:jc w:val="center"/>
        <w:rPr>
          <w:rFonts w:ascii="Times New Roman" w:hAnsi="Times New Roman" w:cs="Times New Roman"/>
          <w:b/>
          <w:bCs/>
        </w:rPr>
      </w:pPr>
      <w:r w:rsidRPr="001F68AC">
        <w:rPr>
          <w:rFonts w:ascii="Times New Roman" w:hAnsi="Times New Roman" w:cs="Times New Roman"/>
          <w:b/>
          <w:bCs/>
        </w:rPr>
        <w:t>Health, environment and climate change</w:t>
      </w:r>
    </w:p>
    <w:p w:rsidR="00E062A2" w:rsidRPr="00A74BAC" w:rsidRDefault="00E062A2" w:rsidP="00890936">
      <w:pPr>
        <w:tabs>
          <w:tab w:val="left" w:pos="2295"/>
        </w:tabs>
        <w:jc w:val="center"/>
        <w:rPr>
          <w:rFonts w:ascii="Times New Roman" w:hAnsi="Times New Roman" w:cs="Times New Roman"/>
          <w:b/>
          <w:color w:val="FF0000"/>
        </w:rPr>
      </w:pPr>
      <w:r w:rsidRPr="00A74BAC">
        <w:rPr>
          <w:rFonts w:ascii="Times New Roman" w:hAnsi="Times New Roman" w:cs="Times New Roman"/>
          <w:b/>
          <w:color w:val="FF0000"/>
        </w:rPr>
        <w:t>Situation in Georgia and further steps</w:t>
      </w:r>
    </w:p>
    <w:p w:rsidR="00E062A2" w:rsidRPr="001F68AC" w:rsidRDefault="00E062A2" w:rsidP="00E062A2">
      <w:pPr>
        <w:jc w:val="both"/>
        <w:rPr>
          <w:rFonts w:ascii="Times New Roman" w:hAnsi="Times New Roman" w:cs="Times New Roman"/>
          <w:bCs/>
        </w:rPr>
      </w:pPr>
      <w:r w:rsidRPr="001F68AC">
        <w:rPr>
          <w:rFonts w:ascii="Times New Roman" w:hAnsi="Times New Roman" w:cs="Times New Roman"/>
          <w:bCs/>
        </w:rPr>
        <w:t xml:space="preserve">In Georgia, the signs of climate change have been observed since the 60s of the 20th century. The picture varies for different regions of the country. Georgia’s Second National Communication (SNC) to The United Nations Framework Convention on Climate Change (UNFCCC) describes trends of change </w:t>
      </w:r>
      <w:r w:rsidR="00CB456A" w:rsidRPr="001F68AC">
        <w:rPr>
          <w:rFonts w:ascii="Times New Roman" w:hAnsi="Times New Roman" w:cs="Times New Roman"/>
          <w:bCs/>
        </w:rPr>
        <w:t>in the</w:t>
      </w:r>
      <w:r w:rsidRPr="001F68AC">
        <w:rPr>
          <w:rFonts w:ascii="Times New Roman" w:hAnsi="Times New Roman" w:cs="Times New Roman"/>
          <w:bCs/>
        </w:rPr>
        <w:t xml:space="preserve"> climatic parameters for two periods - 1955-1970 and 1990-2005.</w:t>
      </w:r>
    </w:p>
    <w:p w:rsidR="00E062A2" w:rsidRPr="001F68AC" w:rsidRDefault="00E062A2" w:rsidP="00E062A2">
      <w:pPr>
        <w:jc w:val="both"/>
        <w:rPr>
          <w:rFonts w:ascii="Times New Roman" w:hAnsi="Times New Roman" w:cs="Times New Roman"/>
          <w:bCs/>
        </w:rPr>
      </w:pPr>
      <w:r w:rsidRPr="001F68AC">
        <w:rPr>
          <w:rFonts w:ascii="Times New Roman" w:hAnsi="Times New Roman" w:cs="Times New Roman"/>
          <w:bCs/>
        </w:rPr>
        <w:t>In Western Georgia, between first and second periods the mean temperature increased by 0,20C and the annual precipitation decreased by 27 mm; in Eastern Georgia, the mean annual temperature increased by 0,30C and annual precipitation increased by 41 mm.</w:t>
      </w:r>
    </w:p>
    <w:p w:rsidR="00E062A2" w:rsidRPr="001F68AC" w:rsidRDefault="00E062A2" w:rsidP="00E062A2">
      <w:pPr>
        <w:jc w:val="both"/>
        <w:rPr>
          <w:rFonts w:ascii="Times New Roman" w:hAnsi="Times New Roman" w:cs="Times New Roman"/>
          <w:bCs/>
        </w:rPr>
      </w:pPr>
      <w:r w:rsidRPr="001F68AC">
        <w:rPr>
          <w:rFonts w:ascii="Times New Roman" w:hAnsi="Times New Roman" w:cs="Times New Roman"/>
          <w:bCs/>
        </w:rPr>
        <w:t>In Tbilisi, in addition to general trend of climate change characteristic for Eastern Georgia, particularly severe impacts of climate change are observed, caused by urbanization, "island effect" resulting from thermal waves (under high temperature conditions, heat is absorbed by asphalt and buildings, causes the city to "glow" and maintain the heat even after the sunset).</w:t>
      </w:r>
    </w:p>
    <w:p w:rsidR="00E062A2" w:rsidRPr="001F68AC" w:rsidRDefault="00CB456A" w:rsidP="00E062A2">
      <w:pPr>
        <w:jc w:val="both"/>
        <w:rPr>
          <w:rFonts w:ascii="Times New Roman" w:hAnsi="Times New Roman" w:cs="Times New Roman"/>
          <w:bCs/>
        </w:rPr>
      </w:pPr>
      <w:r w:rsidRPr="001F68AC">
        <w:rPr>
          <w:rFonts w:ascii="Times New Roman" w:hAnsi="Times New Roman" w:cs="Times New Roman"/>
          <w:bCs/>
        </w:rPr>
        <w:t xml:space="preserve"> </w:t>
      </w:r>
      <w:r w:rsidR="00E062A2" w:rsidRPr="001F68AC">
        <w:rPr>
          <w:rFonts w:ascii="Times New Roman" w:hAnsi="Times New Roman" w:cs="Times New Roman"/>
          <w:bCs/>
        </w:rPr>
        <w:t>It is noteworthy that climate change is not yet reflected in the dynamic of water-born and transmitted infections. Over the recent years, decrease in cases of Malaria, leishmaniasis, Crimean-Congo Hemorrhagic Fever and other insect-</w:t>
      </w:r>
      <w:r w:rsidRPr="001F68AC">
        <w:rPr>
          <w:rFonts w:ascii="Times New Roman" w:hAnsi="Times New Roman" w:cs="Times New Roman"/>
          <w:bCs/>
        </w:rPr>
        <w:t>borne</w:t>
      </w:r>
      <w:r w:rsidR="00E062A2" w:rsidRPr="001F68AC">
        <w:rPr>
          <w:rFonts w:ascii="Times New Roman" w:hAnsi="Times New Roman" w:cs="Times New Roman"/>
          <w:bCs/>
        </w:rPr>
        <w:t xml:space="preserve"> diseases has been observed.</w:t>
      </w:r>
    </w:p>
    <w:p w:rsidR="00E062A2" w:rsidRPr="001F68AC" w:rsidRDefault="00E062A2" w:rsidP="00E062A2">
      <w:pPr>
        <w:jc w:val="both"/>
        <w:rPr>
          <w:rFonts w:ascii="Times New Roman" w:hAnsi="Times New Roman" w:cs="Times New Roman"/>
          <w:bCs/>
        </w:rPr>
      </w:pPr>
      <w:r w:rsidRPr="001F68AC">
        <w:rPr>
          <w:rFonts w:ascii="Times New Roman" w:hAnsi="Times New Roman" w:cs="Times New Roman"/>
          <w:bCs/>
        </w:rPr>
        <w:t>In 2012-2013, ICRC Georgia carried out the pilot study on thermal waves, which led to the development of the National Thermal Wave Action Plan.</w:t>
      </w:r>
    </w:p>
    <w:p w:rsidR="00E062A2" w:rsidRPr="001F68AC" w:rsidRDefault="00E062A2" w:rsidP="00E062A2">
      <w:pPr>
        <w:jc w:val="both"/>
        <w:rPr>
          <w:rFonts w:ascii="Times New Roman" w:hAnsi="Times New Roman" w:cs="Times New Roman"/>
          <w:bCs/>
        </w:rPr>
      </w:pPr>
      <w:r w:rsidRPr="001F68AC">
        <w:rPr>
          <w:rFonts w:ascii="Times New Roman" w:hAnsi="Times New Roman" w:cs="Times New Roman"/>
          <w:bCs/>
        </w:rPr>
        <w:t>It is important for Georgia, in accordance with the decision of the WHO 68 Assembly to elaborate the Action Plan, taking into consideration the following priority directions:</w:t>
      </w:r>
    </w:p>
    <w:p w:rsidR="00E062A2" w:rsidRPr="001F68AC" w:rsidRDefault="00E062A2" w:rsidP="00E062A2">
      <w:pPr>
        <w:numPr>
          <w:ilvl w:val="0"/>
          <w:numId w:val="3"/>
        </w:numPr>
        <w:jc w:val="both"/>
        <w:rPr>
          <w:rFonts w:ascii="Times New Roman" w:hAnsi="Times New Roman" w:cs="Times New Roman"/>
          <w:bCs/>
        </w:rPr>
      </w:pPr>
      <w:r w:rsidRPr="001F68AC">
        <w:rPr>
          <w:rFonts w:ascii="Times New Roman" w:hAnsi="Times New Roman" w:cs="Times New Roman"/>
          <w:bCs/>
        </w:rPr>
        <w:t>Promote health systems to strengthen and enhance their capabilities of assessment and monitoring of health vulnerabilities.</w:t>
      </w:r>
    </w:p>
    <w:p w:rsidR="00E062A2" w:rsidRPr="001F68AC" w:rsidRDefault="00E062A2" w:rsidP="00E062A2">
      <w:pPr>
        <w:numPr>
          <w:ilvl w:val="0"/>
          <w:numId w:val="3"/>
        </w:numPr>
        <w:jc w:val="both"/>
        <w:rPr>
          <w:rFonts w:ascii="Times New Roman" w:hAnsi="Times New Roman" w:cs="Times New Roman"/>
          <w:bCs/>
        </w:rPr>
      </w:pPr>
      <w:r w:rsidRPr="001F68AC">
        <w:rPr>
          <w:rFonts w:ascii="Times New Roman" w:hAnsi="Times New Roman" w:cs="Times New Roman"/>
          <w:bCs/>
        </w:rPr>
        <w:t>Determine climate change attributable risks and health impacts in order to protect human health and first of all, the most vulnerable groups of the population.</w:t>
      </w:r>
    </w:p>
    <w:p w:rsidR="00E062A2" w:rsidRPr="001F68AC" w:rsidRDefault="00E062A2" w:rsidP="00E062A2">
      <w:pPr>
        <w:numPr>
          <w:ilvl w:val="0"/>
          <w:numId w:val="3"/>
        </w:numPr>
        <w:jc w:val="both"/>
        <w:rPr>
          <w:rFonts w:ascii="Times New Roman" w:hAnsi="Times New Roman" w:cs="Times New Roman"/>
          <w:bCs/>
        </w:rPr>
      </w:pPr>
      <w:r w:rsidRPr="001F68AC">
        <w:rPr>
          <w:rFonts w:ascii="Times New Roman" w:hAnsi="Times New Roman" w:cs="Times New Roman"/>
          <w:bCs/>
        </w:rPr>
        <w:t>Develop and implement relevant strategies and actions.</w:t>
      </w:r>
    </w:p>
    <w:p w:rsidR="00E062A2" w:rsidRPr="001F68AC" w:rsidRDefault="00E062A2" w:rsidP="00E062A2">
      <w:pPr>
        <w:numPr>
          <w:ilvl w:val="0"/>
          <w:numId w:val="3"/>
        </w:numPr>
        <w:jc w:val="both"/>
        <w:rPr>
          <w:rFonts w:ascii="Times New Roman" w:hAnsi="Times New Roman" w:cs="Times New Roman"/>
          <w:bCs/>
        </w:rPr>
      </w:pPr>
      <w:r w:rsidRPr="001F68AC">
        <w:rPr>
          <w:rFonts w:ascii="Times New Roman" w:hAnsi="Times New Roman" w:cs="Times New Roman"/>
          <w:bCs/>
        </w:rPr>
        <w:t>Spread and share knowledge and good practices</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bCs/>
          <w:lang w:val="en-GB"/>
        </w:rPr>
        <w:t>As a Party to the UNFCCC and Paris Agreement, Georgia is committed to reduce adverse effects of climate change on the environment and human health and is taking concrete action in this direction</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bCs/>
        </w:rPr>
        <w:t>1. Under the INDC Georgia is committed to:</w:t>
      </w:r>
    </w:p>
    <w:p w:rsidR="00E062A2" w:rsidRPr="001F68AC" w:rsidRDefault="00E062A2" w:rsidP="00E062A2">
      <w:pPr>
        <w:numPr>
          <w:ilvl w:val="0"/>
          <w:numId w:val="1"/>
        </w:numPr>
        <w:jc w:val="both"/>
        <w:rPr>
          <w:rFonts w:ascii="Times New Roman" w:hAnsi="Times New Roman" w:cs="Times New Roman"/>
        </w:rPr>
      </w:pPr>
      <w:r w:rsidRPr="001F68AC">
        <w:rPr>
          <w:rFonts w:ascii="Times New Roman" w:hAnsi="Times New Roman" w:cs="Times New Roman"/>
          <w:bCs/>
        </w:rPr>
        <w:t>15 % GHG emissions reduction comparing to the BAU scenario by 2030;</w:t>
      </w:r>
    </w:p>
    <w:p w:rsidR="00E062A2" w:rsidRPr="001F68AC" w:rsidRDefault="00E062A2" w:rsidP="00E062A2">
      <w:pPr>
        <w:numPr>
          <w:ilvl w:val="0"/>
          <w:numId w:val="1"/>
        </w:numPr>
        <w:jc w:val="both"/>
        <w:rPr>
          <w:rFonts w:ascii="Times New Roman" w:hAnsi="Times New Roman" w:cs="Times New Roman"/>
        </w:rPr>
      </w:pPr>
      <w:r w:rsidRPr="001F68AC">
        <w:rPr>
          <w:rFonts w:ascii="Times New Roman" w:hAnsi="Times New Roman" w:cs="Times New Roman"/>
          <w:bCs/>
        </w:rPr>
        <w:t>10 % additionally in case of international support.</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bCs/>
        </w:rPr>
        <w:t>2.  Currently Georgia works on:</w:t>
      </w:r>
    </w:p>
    <w:p w:rsidR="00E062A2" w:rsidRPr="001F68AC" w:rsidRDefault="00E062A2" w:rsidP="00E062A2">
      <w:pPr>
        <w:numPr>
          <w:ilvl w:val="0"/>
          <w:numId w:val="2"/>
        </w:numPr>
        <w:jc w:val="both"/>
        <w:rPr>
          <w:rFonts w:ascii="Times New Roman" w:hAnsi="Times New Roman" w:cs="Times New Roman"/>
        </w:rPr>
      </w:pPr>
      <w:r w:rsidRPr="001F68AC">
        <w:rPr>
          <w:rFonts w:ascii="Times New Roman" w:hAnsi="Times New Roman" w:cs="Times New Roman"/>
          <w:bCs/>
        </w:rPr>
        <w:t>Elaboration of Nationally Determined Contribution (NDC);</w:t>
      </w:r>
    </w:p>
    <w:p w:rsidR="00E062A2" w:rsidRPr="001F68AC" w:rsidRDefault="00E062A2" w:rsidP="00E062A2">
      <w:pPr>
        <w:numPr>
          <w:ilvl w:val="0"/>
          <w:numId w:val="2"/>
        </w:numPr>
        <w:jc w:val="both"/>
        <w:rPr>
          <w:rFonts w:ascii="Times New Roman" w:hAnsi="Times New Roman" w:cs="Times New Roman"/>
        </w:rPr>
      </w:pPr>
      <w:r w:rsidRPr="001F68AC">
        <w:rPr>
          <w:rFonts w:ascii="Times New Roman" w:hAnsi="Times New Roman" w:cs="Times New Roman"/>
          <w:bCs/>
        </w:rPr>
        <w:t xml:space="preserve">Elaboration of Climate Action Plan 2021-2030 (CAP); </w:t>
      </w:r>
    </w:p>
    <w:p w:rsidR="00E062A2" w:rsidRPr="001F68AC" w:rsidRDefault="00E062A2" w:rsidP="00E062A2">
      <w:pPr>
        <w:numPr>
          <w:ilvl w:val="0"/>
          <w:numId w:val="2"/>
        </w:numPr>
        <w:jc w:val="both"/>
        <w:rPr>
          <w:rFonts w:ascii="Times New Roman" w:hAnsi="Times New Roman" w:cs="Times New Roman"/>
        </w:rPr>
      </w:pPr>
      <w:r w:rsidRPr="001F68AC">
        <w:rPr>
          <w:rFonts w:ascii="Times New Roman" w:hAnsi="Times New Roman" w:cs="Times New Roman"/>
          <w:bCs/>
        </w:rPr>
        <w:t xml:space="preserve">Preparation of Second Biennial Update Report (BUR) addressing the national GHG inventory and mitigation policies and measures.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bCs/>
        </w:rPr>
        <w:lastRenderedPageBreak/>
        <w:t>3. Elaboration of Law Emission Development Strategy (LEDS) until 2050 will start in 2019;</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bCs/>
        </w:rPr>
        <w:t>4. Elaboration of National Adaptation Plan 2021-2030 (NAP) will start in 2020</w:t>
      </w:r>
      <w:r w:rsidRPr="001F68AC">
        <w:rPr>
          <w:rFonts w:ascii="Times New Roman" w:hAnsi="Times New Roman" w:cs="Times New Roman"/>
        </w:rPr>
        <w:t>;</w:t>
      </w:r>
    </w:p>
    <w:p w:rsidR="00E062A2" w:rsidRPr="001F68AC" w:rsidRDefault="00E062A2" w:rsidP="00E062A2">
      <w:pPr>
        <w:jc w:val="both"/>
        <w:rPr>
          <w:rFonts w:ascii="Times New Roman" w:hAnsi="Times New Roman" w:cs="Times New Roman"/>
          <w:lang w:val="en-GB"/>
        </w:rPr>
      </w:pPr>
      <w:r w:rsidRPr="001F68AC">
        <w:rPr>
          <w:rFonts w:ascii="Times New Roman" w:hAnsi="Times New Roman" w:cs="Times New Roman"/>
        </w:rPr>
        <w:t xml:space="preserve">5. </w:t>
      </w:r>
      <w:r w:rsidRPr="001F68AC">
        <w:rPr>
          <w:rFonts w:ascii="Times New Roman" w:hAnsi="Times New Roman" w:cs="Times New Roman"/>
          <w:lang w:val="en-GB"/>
        </w:rPr>
        <w:t xml:space="preserve">Assessment of the </w:t>
      </w:r>
      <w:r w:rsidRPr="001F68AC">
        <w:rPr>
          <w:rFonts w:ascii="Times New Roman" w:hAnsi="Times New Roman" w:cs="Times New Roman"/>
        </w:rPr>
        <w:t>health impacts of climate and environmental change</w:t>
      </w:r>
      <w:r w:rsidRPr="001F68AC">
        <w:rPr>
          <w:rFonts w:ascii="Times New Roman" w:hAnsi="Times New Roman" w:cs="Times New Roman"/>
          <w:lang w:val="en-GB"/>
        </w:rPr>
        <w:t xml:space="preserve"> and management of the health related risks are the objectives of the National Environmental Health Action Plan (NEHAP-2) of Georgia adopted by the </w:t>
      </w:r>
      <w:proofErr w:type="spellStart"/>
      <w:r w:rsidRPr="001F68AC">
        <w:rPr>
          <w:rFonts w:ascii="Times New Roman" w:hAnsi="Times New Roman" w:cs="Times New Roman"/>
          <w:lang w:val="en-GB"/>
        </w:rPr>
        <w:t>GoG</w:t>
      </w:r>
      <w:proofErr w:type="spellEnd"/>
      <w:r w:rsidRPr="001F68AC">
        <w:rPr>
          <w:rFonts w:ascii="Times New Roman" w:hAnsi="Times New Roman" w:cs="Times New Roman"/>
          <w:lang w:val="en-GB"/>
        </w:rPr>
        <w:t xml:space="preserve"> at the end of the 2018 and defining following strategic interventions:</w:t>
      </w:r>
    </w:p>
    <w:p w:rsidR="00CB456A" w:rsidRPr="001F68AC" w:rsidRDefault="00CB456A" w:rsidP="00CB456A">
      <w:pPr>
        <w:jc w:val="both"/>
        <w:rPr>
          <w:rFonts w:ascii="Times New Roman" w:hAnsi="Times New Roman" w:cs="Times New Roman"/>
          <w:lang w:val="ka-GE"/>
        </w:rPr>
      </w:pPr>
      <w:bookmarkStart w:id="0" w:name="_Hlk483074139"/>
      <w:r w:rsidRPr="001F68AC">
        <w:rPr>
          <w:rFonts w:ascii="Times New Roman" w:hAnsi="Times New Roman" w:cs="Times New Roman"/>
          <w:b/>
        </w:rPr>
        <w:t>MTO</w:t>
      </w:r>
      <w:r w:rsidRPr="001F68AC">
        <w:rPr>
          <w:rFonts w:ascii="Times New Roman" w:hAnsi="Times New Roman" w:cs="Times New Roman"/>
          <w:b/>
          <w:lang w:val="ka-GE"/>
        </w:rPr>
        <w:t xml:space="preserve"> 5.1 - </w:t>
      </w:r>
      <w:r w:rsidRPr="001F68AC">
        <w:rPr>
          <w:rFonts w:ascii="Times New Roman" w:hAnsi="Times New Roman" w:cs="Times New Roman"/>
          <w:lang w:val="ka-GE"/>
        </w:rPr>
        <w:t>Evaluate vulnerability to climate change, health impacts and adaptation (health care aspects)</w:t>
      </w:r>
      <w:r w:rsidRPr="001F68AC">
        <w:rPr>
          <w:rFonts w:ascii="Times New Roman" w:hAnsi="Times New Roman" w:cs="Times New Roman"/>
          <w:b/>
          <w:lang w:val="ka-GE"/>
        </w:rPr>
        <w:t xml:space="preserve"> </w:t>
      </w:r>
      <w:r w:rsidRPr="001F68AC">
        <w:rPr>
          <w:rFonts w:ascii="Times New Roman" w:hAnsi="Times New Roman" w:cs="Times New Roman"/>
          <w:lang w:val="ka-GE"/>
        </w:rPr>
        <w:t>including assessment of existing and anticipated risks related to health impacts of climate change by 2022.</w:t>
      </w:r>
    </w:p>
    <w:p w:rsidR="00CB456A" w:rsidRPr="001F68AC" w:rsidRDefault="00CB456A" w:rsidP="00CB456A">
      <w:pPr>
        <w:jc w:val="both"/>
        <w:rPr>
          <w:rFonts w:ascii="Times New Roman" w:hAnsi="Times New Roman" w:cs="Times New Roman"/>
          <w:lang w:val="ka-GE"/>
        </w:rPr>
      </w:pPr>
      <w:r w:rsidRPr="001F68AC">
        <w:rPr>
          <w:rFonts w:ascii="Times New Roman" w:hAnsi="Times New Roman" w:cs="Times New Roman"/>
          <w:b/>
        </w:rPr>
        <w:t>MTO</w:t>
      </w:r>
      <w:r w:rsidRPr="001F68AC">
        <w:rPr>
          <w:rFonts w:ascii="Times New Roman" w:hAnsi="Times New Roman" w:cs="Times New Roman"/>
          <w:b/>
          <w:lang w:val="ka-GE"/>
        </w:rPr>
        <w:t xml:space="preserve"> 5.2</w:t>
      </w:r>
      <w:r w:rsidRPr="001F68AC">
        <w:rPr>
          <w:rFonts w:ascii="Times New Roman" w:hAnsi="Times New Roman" w:cs="Times New Roman"/>
          <w:lang w:val="ka-GE"/>
        </w:rPr>
        <w:t xml:space="preserve"> - Develop National Health Care Adaptation Strategy and Action Plan, among them, for medical</w:t>
      </w:r>
      <w:r w:rsidRPr="001F68AC">
        <w:rPr>
          <w:rFonts w:ascii="Times New Roman" w:hAnsi="Times New Roman" w:cs="Times New Roman"/>
          <w:b/>
          <w:lang w:val="ka-GE"/>
        </w:rPr>
        <w:t xml:space="preserve"> </w:t>
      </w:r>
      <w:r w:rsidRPr="001F68AC">
        <w:rPr>
          <w:rFonts w:ascii="Times New Roman" w:hAnsi="Times New Roman" w:cs="Times New Roman"/>
          <w:lang w:val="ka-GE"/>
        </w:rPr>
        <w:t>facilities by 2021;</w:t>
      </w:r>
    </w:p>
    <w:p w:rsidR="00CB456A" w:rsidRPr="001F68AC" w:rsidRDefault="00CB456A" w:rsidP="00CB456A">
      <w:pPr>
        <w:jc w:val="both"/>
        <w:rPr>
          <w:rFonts w:ascii="Times New Roman" w:hAnsi="Times New Roman" w:cs="Times New Roman"/>
          <w:lang w:val="ka-GE"/>
        </w:rPr>
      </w:pPr>
      <w:r w:rsidRPr="001F68AC">
        <w:rPr>
          <w:rFonts w:ascii="Times New Roman" w:hAnsi="Times New Roman" w:cs="Times New Roman"/>
          <w:b/>
        </w:rPr>
        <w:t>MTO</w:t>
      </w:r>
      <w:r w:rsidRPr="001F68AC">
        <w:rPr>
          <w:rFonts w:ascii="Times New Roman" w:hAnsi="Times New Roman" w:cs="Times New Roman"/>
          <w:b/>
          <w:lang w:val="ka-GE"/>
        </w:rPr>
        <w:t xml:space="preserve"> 5.3 - </w:t>
      </w:r>
      <w:r w:rsidRPr="001F68AC">
        <w:rPr>
          <w:rFonts w:ascii="Times New Roman" w:hAnsi="Times New Roman" w:cs="Times New Roman"/>
          <w:lang w:val="ka-GE"/>
        </w:rPr>
        <w:t>Harmonize the legislation with regard to the requirements of the UNFCCC Convention and</w:t>
      </w:r>
      <w:r w:rsidRPr="001F68AC">
        <w:rPr>
          <w:rFonts w:ascii="Times New Roman" w:hAnsi="Times New Roman" w:cs="Times New Roman"/>
          <w:b/>
          <w:lang w:val="ka-GE"/>
        </w:rPr>
        <w:t xml:space="preserve"> </w:t>
      </w:r>
      <w:r w:rsidRPr="001F68AC">
        <w:rPr>
          <w:rFonts w:ascii="Times New Roman" w:hAnsi="Times New Roman" w:cs="Times New Roman"/>
          <w:lang w:val="ka-GE"/>
        </w:rPr>
        <w:t>assessment of health outcomes by 2022;</w:t>
      </w:r>
    </w:p>
    <w:p w:rsidR="00CB456A" w:rsidRPr="001F68AC" w:rsidRDefault="00CB456A" w:rsidP="00CB456A">
      <w:pPr>
        <w:jc w:val="both"/>
        <w:rPr>
          <w:rFonts w:ascii="Times New Roman" w:hAnsi="Times New Roman" w:cs="Times New Roman"/>
          <w:lang w:val="ka-GE"/>
        </w:rPr>
      </w:pPr>
      <w:r w:rsidRPr="001F68AC">
        <w:rPr>
          <w:rFonts w:ascii="Times New Roman" w:hAnsi="Times New Roman" w:cs="Times New Roman"/>
          <w:b/>
        </w:rPr>
        <w:t>MTO</w:t>
      </w:r>
      <w:r w:rsidRPr="001F68AC">
        <w:rPr>
          <w:rFonts w:ascii="Times New Roman" w:hAnsi="Times New Roman" w:cs="Times New Roman"/>
          <w:b/>
          <w:lang w:val="ka-GE"/>
        </w:rPr>
        <w:t xml:space="preserve"> 5.4 - </w:t>
      </w:r>
      <w:r w:rsidRPr="001F68AC">
        <w:rPr>
          <w:rFonts w:ascii="Times New Roman" w:hAnsi="Times New Roman" w:cs="Times New Roman"/>
          <w:lang w:val="ka-GE"/>
        </w:rPr>
        <w:t>Health care facilities reduce the share of greenhouse gas emissions</w:t>
      </w:r>
      <w:r w:rsidRPr="001F68AC">
        <w:rPr>
          <w:rFonts w:ascii="Times New Roman" w:hAnsi="Times New Roman" w:cs="Times New Roman"/>
          <w:b/>
          <w:lang w:val="ka-GE"/>
        </w:rPr>
        <w:t xml:space="preserve"> </w:t>
      </w:r>
      <w:r w:rsidRPr="001F68AC">
        <w:rPr>
          <w:rFonts w:ascii="Times New Roman" w:hAnsi="Times New Roman" w:cs="Times New Roman"/>
          <w:lang w:val="ka-GE"/>
        </w:rPr>
        <w:t>in national emissions, including introduction of renewable energy use in several hospitals within the framework of the pilot project by 2022;</w:t>
      </w:r>
    </w:p>
    <w:p w:rsidR="00CB456A" w:rsidRPr="00A74BAC" w:rsidRDefault="00CB456A" w:rsidP="00E062A2">
      <w:pPr>
        <w:jc w:val="both"/>
        <w:rPr>
          <w:rFonts w:ascii="Sylfaen" w:hAnsi="Sylfaen" w:cs="Times New Roman"/>
          <w:lang w:val="ka-GE"/>
        </w:rPr>
      </w:pPr>
      <w:r w:rsidRPr="001F68AC">
        <w:rPr>
          <w:rFonts w:ascii="Times New Roman" w:hAnsi="Times New Roman" w:cs="Times New Roman"/>
          <w:b/>
        </w:rPr>
        <w:t>MTO</w:t>
      </w:r>
      <w:r w:rsidRPr="001F68AC">
        <w:rPr>
          <w:rFonts w:ascii="Times New Roman" w:hAnsi="Times New Roman" w:cs="Times New Roman"/>
          <w:b/>
          <w:lang w:val="ka-GE"/>
        </w:rPr>
        <w:t xml:space="preserve"> 5.5 - </w:t>
      </w:r>
      <w:r w:rsidRPr="001F68AC">
        <w:rPr>
          <w:rFonts w:ascii="Times New Roman" w:hAnsi="Times New Roman" w:cs="Times New Roman"/>
          <w:lang w:val="ka-GE"/>
        </w:rPr>
        <w:t>Education / preparation of population and preparedness for emergencies caused by natural disasters such as earthquakes, floods and other extreme weather events as well as Technological disasters by 2020.</w:t>
      </w:r>
      <w:bookmarkEnd w:id="0"/>
    </w:p>
    <w:p w:rsidR="00CB456A" w:rsidRPr="001F68AC" w:rsidRDefault="00CB456A" w:rsidP="00E062A2">
      <w:pPr>
        <w:jc w:val="both"/>
        <w:rPr>
          <w:rFonts w:ascii="Times New Roman" w:hAnsi="Times New Roman" w:cs="Times New Roman"/>
          <w:lang w:val="en-GB"/>
        </w:rPr>
      </w:pPr>
    </w:p>
    <w:p w:rsidR="009E0D7C" w:rsidRPr="001F68AC" w:rsidRDefault="00E062A2" w:rsidP="00E062A2">
      <w:pPr>
        <w:jc w:val="both"/>
        <w:rPr>
          <w:rFonts w:ascii="Times New Roman" w:hAnsi="Times New Roman" w:cs="Times New Roman"/>
          <w:lang w:val="en-GB"/>
        </w:rPr>
      </w:pPr>
      <w:r w:rsidRPr="001F68AC">
        <w:rPr>
          <w:rFonts w:ascii="Times New Roman" w:hAnsi="Times New Roman" w:cs="Times New Roman"/>
          <w:lang w:val="en-GB"/>
        </w:rPr>
        <w:t xml:space="preserve"> </w:t>
      </w:r>
    </w:p>
    <w:p w:rsidR="00D472D8" w:rsidRPr="001F68AC" w:rsidRDefault="00D472D8" w:rsidP="00E062A2">
      <w:pPr>
        <w:jc w:val="both"/>
        <w:rPr>
          <w:rFonts w:ascii="Times New Roman" w:hAnsi="Times New Roman" w:cs="Times New Roman"/>
          <w:lang w:val="en-GB"/>
        </w:rPr>
      </w:pPr>
    </w:p>
    <w:p w:rsidR="00A74BAC" w:rsidRDefault="00A74BAC" w:rsidP="00E062A2">
      <w:pPr>
        <w:jc w:val="both"/>
        <w:rPr>
          <w:rFonts w:ascii="Times New Roman" w:hAnsi="Times New Roman" w:cs="Times New Roman"/>
          <w:lang w:val="en-GB"/>
        </w:rPr>
      </w:pPr>
    </w:p>
    <w:p w:rsidR="00A74BAC" w:rsidRDefault="00A74BAC" w:rsidP="00E062A2">
      <w:pPr>
        <w:jc w:val="both"/>
        <w:rPr>
          <w:rFonts w:ascii="Times New Roman" w:hAnsi="Times New Roman" w:cs="Times New Roman"/>
          <w:lang w:val="en-GB"/>
        </w:rPr>
      </w:pPr>
    </w:p>
    <w:p w:rsidR="00A74BAC" w:rsidRDefault="00A74BAC" w:rsidP="00E062A2">
      <w:pPr>
        <w:jc w:val="both"/>
        <w:rPr>
          <w:rFonts w:ascii="Times New Roman" w:hAnsi="Times New Roman" w:cs="Times New Roman"/>
          <w:lang w:val="en-GB"/>
        </w:rPr>
      </w:pPr>
    </w:p>
    <w:p w:rsidR="00A74BAC" w:rsidRDefault="00A74BAC" w:rsidP="00E062A2">
      <w:pPr>
        <w:jc w:val="both"/>
        <w:rPr>
          <w:rFonts w:ascii="Times New Roman" w:hAnsi="Times New Roman" w:cs="Times New Roman"/>
          <w:lang w:val="en-GB"/>
        </w:rPr>
      </w:pPr>
    </w:p>
    <w:p w:rsidR="00A74BAC" w:rsidRDefault="00A74BAC" w:rsidP="00E062A2">
      <w:pPr>
        <w:jc w:val="both"/>
        <w:rPr>
          <w:rFonts w:ascii="Times New Roman" w:hAnsi="Times New Roman" w:cs="Times New Roman"/>
          <w:lang w:val="en-GB"/>
        </w:rPr>
      </w:pPr>
    </w:p>
    <w:p w:rsidR="00A74BAC" w:rsidRDefault="00A74BAC" w:rsidP="00E062A2">
      <w:pPr>
        <w:jc w:val="both"/>
        <w:rPr>
          <w:rFonts w:ascii="Times New Roman" w:hAnsi="Times New Roman" w:cs="Times New Roman"/>
          <w:lang w:val="en-GB"/>
        </w:rPr>
      </w:pPr>
    </w:p>
    <w:p w:rsidR="00A74BAC" w:rsidRDefault="00A74BAC" w:rsidP="00E062A2">
      <w:pPr>
        <w:jc w:val="both"/>
        <w:rPr>
          <w:rFonts w:ascii="Times New Roman" w:hAnsi="Times New Roman" w:cs="Times New Roman"/>
          <w:lang w:val="en-GB"/>
        </w:rPr>
      </w:pPr>
    </w:p>
    <w:p w:rsidR="00A74BAC" w:rsidRDefault="00A74BAC" w:rsidP="00E062A2">
      <w:pPr>
        <w:jc w:val="both"/>
        <w:rPr>
          <w:rFonts w:ascii="Times New Roman" w:hAnsi="Times New Roman" w:cs="Times New Roman"/>
          <w:lang w:val="en-GB"/>
        </w:rPr>
      </w:pPr>
    </w:p>
    <w:p w:rsidR="00A74BAC" w:rsidRDefault="00A74BAC" w:rsidP="00E062A2">
      <w:pPr>
        <w:jc w:val="both"/>
        <w:rPr>
          <w:rFonts w:ascii="Times New Roman" w:hAnsi="Times New Roman" w:cs="Times New Roman"/>
          <w:lang w:val="en-GB"/>
        </w:rPr>
      </w:pPr>
    </w:p>
    <w:p w:rsidR="00A74BAC" w:rsidRDefault="00A74BAC" w:rsidP="00E062A2">
      <w:pPr>
        <w:jc w:val="both"/>
        <w:rPr>
          <w:rFonts w:ascii="Times New Roman" w:hAnsi="Times New Roman" w:cs="Times New Roman"/>
          <w:lang w:val="en-GB"/>
        </w:rPr>
      </w:pPr>
    </w:p>
    <w:p w:rsidR="00890936" w:rsidRDefault="00890936" w:rsidP="00E062A2">
      <w:pPr>
        <w:jc w:val="both"/>
        <w:rPr>
          <w:rFonts w:ascii="Times New Roman" w:hAnsi="Times New Roman" w:cs="Times New Roman"/>
          <w:b/>
          <w:color w:val="FF0000"/>
          <w:lang w:val="en-GB"/>
        </w:rPr>
      </w:pPr>
    </w:p>
    <w:p w:rsidR="00890936" w:rsidRDefault="00890936" w:rsidP="00E062A2">
      <w:pPr>
        <w:jc w:val="both"/>
        <w:rPr>
          <w:rFonts w:ascii="Times New Roman" w:hAnsi="Times New Roman" w:cs="Times New Roman"/>
          <w:b/>
          <w:color w:val="FF0000"/>
          <w:lang w:val="en-GB"/>
        </w:rPr>
      </w:pPr>
    </w:p>
    <w:p w:rsidR="00890936" w:rsidRDefault="00890936" w:rsidP="00E062A2">
      <w:pPr>
        <w:jc w:val="both"/>
        <w:rPr>
          <w:rFonts w:ascii="Times New Roman" w:hAnsi="Times New Roman" w:cs="Times New Roman"/>
          <w:b/>
          <w:color w:val="FF0000"/>
          <w:lang w:val="en-GB"/>
        </w:rPr>
      </w:pPr>
      <w:bookmarkStart w:id="1" w:name="_GoBack"/>
      <w:bookmarkEnd w:id="1"/>
    </w:p>
    <w:sectPr w:rsidR="00890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29A"/>
    <w:multiLevelType w:val="hybridMultilevel"/>
    <w:tmpl w:val="0C1E5B04"/>
    <w:lvl w:ilvl="0" w:tplc="0436E32C">
      <w:start w:val="1"/>
      <w:numFmt w:val="bullet"/>
      <w:lvlText w:val="•"/>
      <w:lvlJc w:val="left"/>
      <w:pPr>
        <w:tabs>
          <w:tab w:val="num" w:pos="720"/>
        </w:tabs>
        <w:ind w:left="720" w:hanging="360"/>
      </w:pPr>
      <w:rPr>
        <w:rFonts w:ascii="Arial" w:hAnsi="Arial" w:hint="default"/>
      </w:rPr>
    </w:lvl>
    <w:lvl w:ilvl="1" w:tplc="8D08DE06" w:tentative="1">
      <w:start w:val="1"/>
      <w:numFmt w:val="bullet"/>
      <w:lvlText w:val="•"/>
      <w:lvlJc w:val="left"/>
      <w:pPr>
        <w:tabs>
          <w:tab w:val="num" w:pos="1440"/>
        </w:tabs>
        <w:ind w:left="1440" w:hanging="360"/>
      </w:pPr>
      <w:rPr>
        <w:rFonts w:ascii="Arial" w:hAnsi="Arial" w:hint="default"/>
      </w:rPr>
    </w:lvl>
    <w:lvl w:ilvl="2" w:tplc="4B5EE600" w:tentative="1">
      <w:start w:val="1"/>
      <w:numFmt w:val="bullet"/>
      <w:lvlText w:val="•"/>
      <w:lvlJc w:val="left"/>
      <w:pPr>
        <w:tabs>
          <w:tab w:val="num" w:pos="2160"/>
        </w:tabs>
        <w:ind w:left="2160" w:hanging="360"/>
      </w:pPr>
      <w:rPr>
        <w:rFonts w:ascii="Arial" w:hAnsi="Arial" w:hint="default"/>
      </w:rPr>
    </w:lvl>
    <w:lvl w:ilvl="3" w:tplc="09A67912" w:tentative="1">
      <w:start w:val="1"/>
      <w:numFmt w:val="bullet"/>
      <w:lvlText w:val="•"/>
      <w:lvlJc w:val="left"/>
      <w:pPr>
        <w:tabs>
          <w:tab w:val="num" w:pos="2880"/>
        </w:tabs>
        <w:ind w:left="2880" w:hanging="360"/>
      </w:pPr>
      <w:rPr>
        <w:rFonts w:ascii="Arial" w:hAnsi="Arial" w:hint="default"/>
      </w:rPr>
    </w:lvl>
    <w:lvl w:ilvl="4" w:tplc="3E5CC56A" w:tentative="1">
      <w:start w:val="1"/>
      <w:numFmt w:val="bullet"/>
      <w:lvlText w:val="•"/>
      <w:lvlJc w:val="left"/>
      <w:pPr>
        <w:tabs>
          <w:tab w:val="num" w:pos="3600"/>
        </w:tabs>
        <w:ind w:left="3600" w:hanging="360"/>
      </w:pPr>
      <w:rPr>
        <w:rFonts w:ascii="Arial" w:hAnsi="Arial" w:hint="default"/>
      </w:rPr>
    </w:lvl>
    <w:lvl w:ilvl="5" w:tplc="F4AC1278" w:tentative="1">
      <w:start w:val="1"/>
      <w:numFmt w:val="bullet"/>
      <w:lvlText w:val="•"/>
      <w:lvlJc w:val="left"/>
      <w:pPr>
        <w:tabs>
          <w:tab w:val="num" w:pos="4320"/>
        </w:tabs>
        <w:ind w:left="4320" w:hanging="360"/>
      </w:pPr>
      <w:rPr>
        <w:rFonts w:ascii="Arial" w:hAnsi="Arial" w:hint="default"/>
      </w:rPr>
    </w:lvl>
    <w:lvl w:ilvl="6" w:tplc="0D3E5BC2" w:tentative="1">
      <w:start w:val="1"/>
      <w:numFmt w:val="bullet"/>
      <w:lvlText w:val="•"/>
      <w:lvlJc w:val="left"/>
      <w:pPr>
        <w:tabs>
          <w:tab w:val="num" w:pos="5040"/>
        </w:tabs>
        <w:ind w:left="5040" w:hanging="360"/>
      </w:pPr>
      <w:rPr>
        <w:rFonts w:ascii="Arial" w:hAnsi="Arial" w:hint="default"/>
      </w:rPr>
    </w:lvl>
    <w:lvl w:ilvl="7" w:tplc="9D122F18" w:tentative="1">
      <w:start w:val="1"/>
      <w:numFmt w:val="bullet"/>
      <w:lvlText w:val="•"/>
      <w:lvlJc w:val="left"/>
      <w:pPr>
        <w:tabs>
          <w:tab w:val="num" w:pos="5760"/>
        </w:tabs>
        <w:ind w:left="5760" w:hanging="360"/>
      </w:pPr>
      <w:rPr>
        <w:rFonts w:ascii="Arial" w:hAnsi="Arial" w:hint="default"/>
      </w:rPr>
    </w:lvl>
    <w:lvl w:ilvl="8" w:tplc="F52678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4C63AC"/>
    <w:multiLevelType w:val="hybridMultilevel"/>
    <w:tmpl w:val="A9746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A2CAA"/>
    <w:multiLevelType w:val="hybridMultilevel"/>
    <w:tmpl w:val="46A8236C"/>
    <w:lvl w:ilvl="0" w:tplc="34BA0F30">
      <w:start w:val="1"/>
      <w:numFmt w:val="bullet"/>
      <w:lvlText w:val="•"/>
      <w:lvlJc w:val="left"/>
      <w:pPr>
        <w:tabs>
          <w:tab w:val="num" w:pos="720"/>
        </w:tabs>
        <w:ind w:left="720" w:hanging="360"/>
      </w:pPr>
      <w:rPr>
        <w:rFonts w:ascii="Arial" w:hAnsi="Arial" w:hint="default"/>
      </w:rPr>
    </w:lvl>
    <w:lvl w:ilvl="1" w:tplc="198EC6C8" w:tentative="1">
      <w:start w:val="1"/>
      <w:numFmt w:val="bullet"/>
      <w:lvlText w:val="•"/>
      <w:lvlJc w:val="left"/>
      <w:pPr>
        <w:tabs>
          <w:tab w:val="num" w:pos="1440"/>
        </w:tabs>
        <w:ind w:left="1440" w:hanging="360"/>
      </w:pPr>
      <w:rPr>
        <w:rFonts w:ascii="Arial" w:hAnsi="Arial" w:hint="default"/>
      </w:rPr>
    </w:lvl>
    <w:lvl w:ilvl="2" w:tplc="94A4BC08" w:tentative="1">
      <w:start w:val="1"/>
      <w:numFmt w:val="bullet"/>
      <w:lvlText w:val="•"/>
      <w:lvlJc w:val="left"/>
      <w:pPr>
        <w:tabs>
          <w:tab w:val="num" w:pos="2160"/>
        </w:tabs>
        <w:ind w:left="2160" w:hanging="360"/>
      </w:pPr>
      <w:rPr>
        <w:rFonts w:ascii="Arial" w:hAnsi="Arial" w:hint="default"/>
      </w:rPr>
    </w:lvl>
    <w:lvl w:ilvl="3" w:tplc="FBBCE336" w:tentative="1">
      <w:start w:val="1"/>
      <w:numFmt w:val="bullet"/>
      <w:lvlText w:val="•"/>
      <w:lvlJc w:val="left"/>
      <w:pPr>
        <w:tabs>
          <w:tab w:val="num" w:pos="2880"/>
        </w:tabs>
        <w:ind w:left="2880" w:hanging="360"/>
      </w:pPr>
      <w:rPr>
        <w:rFonts w:ascii="Arial" w:hAnsi="Arial" w:hint="default"/>
      </w:rPr>
    </w:lvl>
    <w:lvl w:ilvl="4" w:tplc="51A0E5C6" w:tentative="1">
      <w:start w:val="1"/>
      <w:numFmt w:val="bullet"/>
      <w:lvlText w:val="•"/>
      <w:lvlJc w:val="left"/>
      <w:pPr>
        <w:tabs>
          <w:tab w:val="num" w:pos="3600"/>
        </w:tabs>
        <w:ind w:left="3600" w:hanging="360"/>
      </w:pPr>
      <w:rPr>
        <w:rFonts w:ascii="Arial" w:hAnsi="Arial" w:hint="default"/>
      </w:rPr>
    </w:lvl>
    <w:lvl w:ilvl="5" w:tplc="5A585E58" w:tentative="1">
      <w:start w:val="1"/>
      <w:numFmt w:val="bullet"/>
      <w:lvlText w:val="•"/>
      <w:lvlJc w:val="left"/>
      <w:pPr>
        <w:tabs>
          <w:tab w:val="num" w:pos="4320"/>
        </w:tabs>
        <w:ind w:left="4320" w:hanging="360"/>
      </w:pPr>
      <w:rPr>
        <w:rFonts w:ascii="Arial" w:hAnsi="Arial" w:hint="default"/>
      </w:rPr>
    </w:lvl>
    <w:lvl w:ilvl="6" w:tplc="EDAC6928" w:tentative="1">
      <w:start w:val="1"/>
      <w:numFmt w:val="bullet"/>
      <w:lvlText w:val="•"/>
      <w:lvlJc w:val="left"/>
      <w:pPr>
        <w:tabs>
          <w:tab w:val="num" w:pos="5040"/>
        </w:tabs>
        <w:ind w:left="5040" w:hanging="360"/>
      </w:pPr>
      <w:rPr>
        <w:rFonts w:ascii="Arial" w:hAnsi="Arial" w:hint="default"/>
      </w:rPr>
    </w:lvl>
    <w:lvl w:ilvl="7" w:tplc="7FDEC67E" w:tentative="1">
      <w:start w:val="1"/>
      <w:numFmt w:val="bullet"/>
      <w:lvlText w:val="•"/>
      <w:lvlJc w:val="left"/>
      <w:pPr>
        <w:tabs>
          <w:tab w:val="num" w:pos="5760"/>
        </w:tabs>
        <w:ind w:left="5760" w:hanging="360"/>
      </w:pPr>
      <w:rPr>
        <w:rFonts w:ascii="Arial" w:hAnsi="Arial" w:hint="default"/>
      </w:rPr>
    </w:lvl>
    <w:lvl w:ilvl="8" w:tplc="4CDABC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98419B8"/>
    <w:multiLevelType w:val="hybridMultilevel"/>
    <w:tmpl w:val="DD6E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47"/>
    <w:rsid w:val="00196E00"/>
    <w:rsid w:val="001F68AC"/>
    <w:rsid w:val="003D1252"/>
    <w:rsid w:val="005D57DF"/>
    <w:rsid w:val="006D6747"/>
    <w:rsid w:val="00890936"/>
    <w:rsid w:val="009E0D7C"/>
    <w:rsid w:val="00A74BAC"/>
    <w:rsid w:val="00CB456A"/>
    <w:rsid w:val="00D472D8"/>
    <w:rsid w:val="00E06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A00E-570C-44AC-B9B0-2D0F1AA7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dc:description/>
  <cp:lastModifiedBy>Giuashvili, Nia</cp:lastModifiedBy>
  <cp:revision>2</cp:revision>
  <dcterms:created xsi:type="dcterms:W3CDTF">2019-09-06T08:50:00Z</dcterms:created>
  <dcterms:modified xsi:type="dcterms:W3CDTF">2019-09-06T08:50:00Z</dcterms:modified>
</cp:coreProperties>
</file>